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73C" w:rsidRPr="007F3768" w:rsidRDefault="00182640" w:rsidP="007F3768">
      <w:pPr>
        <w:jc w:val="center"/>
        <w:rPr>
          <w:rFonts w:ascii="Arial" w:hAnsi="Arial" w:cs="Arial"/>
          <w:b/>
          <w:sz w:val="24"/>
          <w:szCs w:val="24"/>
        </w:rPr>
      </w:pPr>
      <w:r w:rsidRPr="007F3768">
        <w:rPr>
          <w:rFonts w:ascii="Arial" w:hAnsi="Arial" w:cs="Arial"/>
          <w:b/>
          <w:sz w:val="24"/>
          <w:szCs w:val="24"/>
        </w:rPr>
        <w:t>Análisis Comparativo  de Resultados prueba SABER  2012-2013- 2014.</w:t>
      </w:r>
    </w:p>
    <w:p w:rsidR="00182640" w:rsidRDefault="00182640" w:rsidP="007F3768">
      <w:pPr>
        <w:jc w:val="center"/>
        <w:rPr>
          <w:rFonts w:ascii="Arial" w:hAnsi="Arial" w:cs="Arial"/>
          <w:b/>
          <w:sz w:val="24"/>
          <w:szCs w:val="24"/>
        </w:rPr>
      </w:pPr>
      <w:r w:rsidRPr="007F3768">
        <w:rPr>
          <w:rFonts w:ascii="Arial" w:hAnsi="Arial" w:cs="Arial"/>
          <w:b/>
          <w:sz w:val="24"/>
          <w:szCs w:val="24"/>
        </w:rPr>
        <w:t>Ente territorial Cali.</w:t>
      </w:r>
    </w:p>
    <w:p w:rsidR="00FA12EE" w:rsidRDefault="00FA12EE" w:rsidP="007F376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Áreas  de lenguaje y Matemáticas. Ciclos 3° -5° y 9°</w:t>
      </w:r>
    </w:p>
    <w:p w:rsidR="00FA12EE" w:rsidRPr="007F3768" w:rsidRDefault="00FA12EE" w:rsidP="007F3768">
      <w:pPr>
        <w:jc w:val="center"/>
        <w:rPr>
          <w:rFonts w:ascii="Arial" w:hAnsi="Arial" w:cs="Arial"/>
          <w:b/>
          <w:sz w:val="24"/>
          <w:szCs w:val="24"/>
        </w:rPr>
      </w:pPr>
    </w:p>
    <w:p w:rsidR="00182640" w:rsidRDefault="00182640">
      <w:r>
        <w:rPr>
          <w:noProof/>
          <w:lang w:eastAsia="es-CO"/>
        </w:rPr>
        <w:drawing>
          <wp:inline distT="0" distB="0" distL="0" distR="0" wp14:anchorId="22EF02E8" wp14:editId="12223B02">
            <wp:extent cx="5969479" cy="2725947"/>
            <wp:effectExtent l="0" t="0" r="0" b="0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A52CC" w:rsidRDefault="00CA52CC" w:rsidP="007F3768">
      <w:pPr>
        <w:jc w:val="both"/>
        <w:rPr>
          <w:rFonts w:ascii="Arial" w:hAnsi="Arial" w:cs="Arial"/>
          <w:sz w:val="24"/>
          <w:szCs w:val="24"/>
        </w:rPr>
      </w:pPr>
      <w:r w:rsidRPr="007F3768">
        <w:rPr>
          <w:rFonts w:ascii="Arial" w:hAnsi="Arial" w:cs="Arial"/>
          <w:sz w:val="24"/>
          <w:szCs w:val="24"/>
        </w:rPr>
        <w:t xml:space="preserve">En este ciclo y área se evidencia una tendencia leve pero continua de mejoramiento que se expresa en la disminución </w:t>
      </w:r>
      <w:r w:rsidR="007F3768" w:rsidRPr="007F3768">
        <w:rPr>
          <w:rFonts w:ascii="Arial" w:hAnsi="Arial" w:cs="Arial"/>
          <w:sz w:val="24"/>
          <w:szCs w:val="24"/>
        </w:rPr>
        <w:t xml:space="preserve"> </w:t>
      </w:r>
      <w:r w:rsidRPr="007F3768">
        <w:rPr>
          <w:rFonts w:ascii="Arial" w:hAnsi="Arial" w:cs="Arial"/>
          <w:sz w:val="24"/>
          <w:szCs w:val="24"/>
        </w:rPr>
        <w:t>de los po</w:t>
      </w:r>
      <w:r w:rsidR="007F3768" w:rsidRPr="007F3768">
        <w:rPr>
          <w:rFonts w:ascii="Arial" w:hAnsi="Arial" w:cs="Arial"/>
          <w:sz w:val="24"/>
          <w:szCs w:val="24"/>
        </w:rPr>
        <w:t xml:space="preserve">rcentajes  de estudiantes en los </w:t>
      </w:r>
      <w:r w:rsidRPr="007F3768">
        <w:rPr>
          <w:rFonts w:ascii="Arial" w:hAnsi="Arial" w:cs="Arial"/>
          <w:sz w:val="24"/>
          <w:szCs w:val="24"/>
        </w:rPr>
        <w:t>nivel</w:t>
      </w:r>
      <w:r w:rsidR="007F3768" w:rsidRPr="007F3768">
        <w:rPr>
          <w:rFonts w:ascii="Arial" w:hAnsi="Arial" w:cs="Arial"/>
          <w:sz w:val="24"/>
          <w:szCs w:val="24"/>
        </w:rPr>
        <w:t>es</w:t>
      </w:r>
      <w:r w:rsidRPr="007F3768">
        <w:rPr>
          <w:rFonts w:ascii="Arial" w:hAnsi="Arial" w:cs="Arial"/>
          <w:sz w:val="24"/>
          <w:szCs w:val="24"/>
        </w:rPr>
        <w:t xml:space="preserve"> de Insuficiente y </w:t>
      </w:r>
      <w:r w:rsidR="007F3768" w:rsidRPr="007F3768">
        <w:rPr>
          <w:rFonts w:ascii="Arial" w:hAnsi="Arial" w:cs="Arial"/>
          <w:sz w:val="24"/>
          <w:szCs w:val="24"/>
        </w:rPr>
        <w:t xml:space="preserve">mínimo,  confirmada por el </w:t>
      </w:r>
      <w:r w:rsidRPr="007F3768">
        <w:rPr>
          <w:rFonts w:ascii="Arial" w:hAnsi="Arial" w:cs="Arial"/>
          <w:sz w:val="24"/>
          <w:szCs w:val="24"/>
        </w:rPr>
        <w:t xml:space="preserve"> respectivo incremento </w:t>
      </w:r>
      <w:r w:rsidR="007F3768" w:rsidRPr="007F3768">
        <w:rPr>
          <w:rFonts w:ascii="Arial" w:hAnsi="Arial" w:cs="Arial"/>
          <w:sz w:val="24"/>
          <w:szCs w:val="24"/>
        </w:rPr>
        <w:t>en los niveles satisfactorio y avanzado.</w:t>
      </w:r>
    </w:p>
    <w:p w:rsidR="007F3768" w:rsidRDefault="007F3768" w:rsidP="007F3768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19665853" wp14:editId="14E4DC72">
            <wp:extent cx="5969479" cy="2820838"/>
            <wp:effectExtent l="0" t="0" r="0" b="0"/>
            <wp:docPr id="2" name="Gráfico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7F3768" w:rsidRDefault="007F3768" w:rsidP="007F3768">
      <w:pPr>
        <w:jc w:val="both"/>
        <w:rPr>
          <w:rFonts w:ascii="Arial" w:hAnsi="Arial" w:cs="Arial"/>
          <w:sz w:val="24"/>
          <w:szCs w:val="24"/>
        </w:rPr>
      </w:pPr>
      <w:r w:rsidRPr="007F3768">
        <w:rPr>
          <w:rFonts w:ascii="Arial" w:hAnsi="Arial" w:cs="Arial"/>
          <w:sz w:val="24"/>
          <w:szCs w:val="24"/>
        </w:rPr>
        <w:lastRenderedPageBreak/>
        <w:t>En este ciclo y área se evidencia un</w:t>
      </w:r>
      <w:r>
        <w:rPr>
          <w:rFonts w:ascii="Arial" w:hAnsi="Arial" w:cs="Arial"/>
          <w:sz w:val="24"/>
          <w:szCs w:val="24"/>
        </w:rPr>
        <w:t xml:space="preserve"> estancamiento  de los resultados,</w:t>
      </w:r>
      <w:r w:rsidR="005669BC">
        <w:rPr>
          <w:rFonts w:ascii="Arial" w:hAnsi="Arial" w:cs="Arial"/>
          <w:sz w:val="24"/>
          <w:szCs w:val="24"/>
        </w:rPr>
        <w:t xml:space="preserve"> entre los años 2012 y 2014, </w:t>
      </w:r>
      <w:r>
        <w:rPr>
          <w:rFonts w:ascii="Arial" w:hAnsi="Arial" w:cs="Arial"/>
          <w:sz w:val="24"/>
          <w:szCs w:val="24"/>
        </w:rPr>
        <w:t xml:space="preserve"> en tanto no se presentan variaciones significativas de mejoría o retroceso.</w:t>
      </w:r>
    </w:p>
    <w:p w:rsidR="005669BC" w:rsidRDefault="005669BC" w:rsidP="007F3768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7C33F1C5" wp14:editId="25523283">
            <wp:extent cx="6012611" cy="3217653"/>
            <wp:effectExtent l="0" t="0" r="7620" b="1905"/>
            <wp:docPr id="3" name="Gráfico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7F3768" w:rsidRDefault="005669BC" w:rsidP="007F376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el ciclo 5° del área de lenguaje, los resultados muestran una tendencia a la baja en los cuatro niveles de desempeño, en tanto los porcentajes de estudiantes situados en los niveles insuficiente  y mínimo se incrementan  y por el contrario, disminuyen en los niveles satisfactorio y avanzado. Mientras en el año 2012, el 52.28% de estudiantes se sitúa en los niveles  satisfactorio y avanzado. </w:t>
      </w:r>
      <w:r w:rsidR="004E4AE7">
        <w:rPr>
          <w:rFonts w:ascii="Arial" w:hAnsi="Arial" w:cs="Arial"/>
          <w:sz w:val="24"/>
          <w:szCs w:val="24"/>
        </w:rPr>
        <w:t xml:space="preserve"> En el año 2014, este porcentaje disminuye al 49.05%</w:t>
      </w:r>
    </w:p>
    <w:p w:rsidR="004E4AE7" w:rsidRDefault="004E4AE7" w:rsidP="007F3768">
      <w:pPr>
        <w:jc w:val="both"/>
        <w:rPr>
          <w:rFonts w:ascii="Arial" w:hAnsi="Arial" w:cs="Arial"/>
          <w:sz w:val="24"/>
          <w:szCs w:val="24"/>
        </w:rPr>
      </w:pPr>
    </w:p>
    <w:p w:rsidR="004E4AE7" w:rsidRDefault="004E4AE7" w:rsidP="007F3768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es-CO"/>
        </w:rPr>
        <w:lastRenderedPageBreak/>
        <w:drawing>
          <wp:inline distT="0" distB="0" distL="0" distR="0" wp14:anchorId="4D9EFCAB" wp14:editId="4C0A49D4">
            <wp:extent cx="6064370" cy="3252159"/>
            <wp:effectExtent l="0" t="0" r="0" b="5715"/>
            <wp:docPr id="4" name="Gráfico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57D66" w:rsidRDefault="004E4AE7" w:rsidP="007F376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el ciclo 5° del área de matemáticas, se observan resultados novedosos, pues mientras en el año 2013, mejoran los porcentajes </w:t>
      </w:r>
      <w:r w:rsidR="00BB623F">
        <w:rPr>
          <w:rFonts w:ascii="Arial" w:hAnsi="Arial" w:cs="Arial"/>
          <w:sz w:val="24"/>
          <w:szCs w:val="24"/>
        </w:rPr>
        <w:t xml:space="preserve">con respecto al año 2012, </w:t>
      </w:r>
      <w:r>
        <w:rPr>
          <w:rFonts w:ascii="Arial" w:hAnsi="Arial" w:cs="Arial"/>
          <w:sz w:val="24"/>
          <w:szCs w:val="24"/>
        </w:rPr>
        <w:t>en los cuatro niveles</w:t>
      </w:r>
      <w:r w:rsidR="00BB623F">
        <w:rPr>
          <w:rFonts w:ascii="Arial" w:hAnsi="Arial" w:cs="Arial"/>
          <w:sz w:val="24"/>
          <w:szCs w:val="24"/>
        </w:rPr>
        <w:t xml:space="preserve">, </w:t>
      </w:r>
      <w:r w:rsidR="00557D66">
        <w:rPr>
          <w:rFonts w:ascii="Arial" w:hAnsi="Arial" w:cs="Arial"/>
          <w:sz w:val="24"/>
          <w:szCs w:val="24"/>
        </w:rPr>
        <w:t>para el año 2014, mejoran los porcentajes en los niveles mínimo y avanzado, mientras que desmejoran en los niveles insuficiente y satisfactorio.  Si se consolidan los resultados se observa que Cali, retrocede con respecto al 2012, en tanto se incrementa el porcentaje de estudiantes en los niveles insuficiente y mínimo, de 63.83% 82012)  al 65.71% en el año 2014.</w:t>
      </w:r>
    </w:p>
    <w:p w:rsidR="004E4AE7" w:rsidRDefault="00557D66" w:rsidP="007F3768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noProof/>
          <w:lang w:eastAsia="es-CO"/>
        </w:rPr>
        <w:drawing>
          <wp:inline distT="0" distB="0" distL="0" distR="0" wp14:anchorId="2E39B943" wp14:editId="1ED3D85B">
            <wp:extent cx="5612130" cy="2887980"/>
            <wp:effectExtent l="0" t="0" r="7620" b="7620"/>
            <wp:docPr id="5" name="Gráfico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4E4AE7">
        <w:rPr>
          <w:rFonts w:ascii="Arial" w:hAnsi="Arial" w:cs="Arial"/>
          <w:sz w:val="24"/>
          <w:szCs w:val="24"/>
        </w:rPr>
        <w:t xml:space="preserve"> </w:t>
      </w:r>
    </w:p>
    <w:p w:rsidR="00FA12EE" w:rsidRDefault="00FA12EE" w:rsidP="007F376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En el ciclo de 9° del área de lenguaje, el ente territorial, Cali, muestra una preocupante tendencia a la baja, en tanto se incrementan los porcentajes de estudiantes en los niveles insuficiente y mínimo,(fragilidades) y decrecen en los niveles satisfactorio y avanzado (Fortalezas) </w:t>
      </w:r>
    </w:p>
    <w:p w:rsidR="007F3768" w:rsidRPr="007F3768" w:rsidRDefault="007F3768" w:rsidP="007F3768">
      <w:pPr>
        <w:jc w:val="both"/>
        <w:rPr>
          <w:rFonts w:ascii="Arial" w:hAnsi="Arial" w:cs="Arial"/>
          <w:sz w:val="24"/>
          <w:szCs w:val="24"/>
        </w:rPr>
      </w:pPr>
    </w:p>
    <w:p w:rsidR="007F3768" w:rsidRDefault="00557D66" w:rsidP="007F3768">
      <w:pPr>
        <w:jc w:val="both"/>
      </w:pPr>
      <w:r>
        <w:rPr>
          <w:noProof/>
          <w:lang w:eastAsia="es-CO"/>
        </w:rPr>
        <w:drawing>
          <wp:inline distT="0" distB="0" distL="0" distR="0" wp14:anchorId="3B125EE3" wp14:editId="28E9A391">
            <wp:extent cx="5612130" cy="3165475"/>
            <wp:effectExtent l="0" t="0" r="7620" b="0"/>
            <wp:docPr id="6" name="Gráfico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A12EE" w:rsidRDefault="00FA12EE" w:rsidP="007F3768">
      <w:pPr>
        <w:jc w:val="both"/>
      </w:pPr>
    </w:p>
    <w:p w:rsidR="00FA12EE" w:rsidRDefault="00FA12EE" w:rsidP="007F3768">
      <w:pPr>
        <w:jc w:val="both"/>
      </w:pPr>
      <w:r>
        <w:t>En matemáticas, ciclo 9°</w:t>
      </w:r>
      <w:r w:rsidR="001E489F">
        <w:t>,  los resultados  no muestran cambios significativos  para los tres años,  con una tendencia conservadora  y preocupante</w:t>
      </w:r>
      <w:r>
        <w:t xml:space="preserve"> </w:t>
      </w:r>
      <w:r w:rsidR="001E489F">
        <w:t>del 70% de estudiantes en los niveles insuficiente  y mínimo, y el 30%  en los niveles satisfactorio y avanzado.</w:t>
      </w:r>
    </w:p>
    <w:sectPr w:rsidR="00FA12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640"/>
    <w:rsid w:val="00182640"/>
    <w:rsid w:val="001E489F"/>
    <w:rsid w:val="003C25C7"/>
    <w:rsid w:val="004E4AE7"/>
    <w:rsid w:val="00557D66"/>
    <w:rsid w:val="005669BC"/>
    <w:rsid w:val="00655200"/>
    <w:rsid w:val="007F3768"/>
    <w:rsid w:val="00BB623F"/>
    <w:rsid w:val="00CA52CC"/>
    <w:rsid w:val="00FA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82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26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82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26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11" Type="http://schemas.openxmlformats.org/officeDocument/2006/relationships/fontTable" Target="fontTable.xml"/><Relationship Id="rId5" Type="http://schemas.openxmlformats.org/officeDocument/2006/relationships/chart" Target="charts/chart1.xml"/><Relationship Id="rId10" Type="http://schemas.openxmlformats.org/officeDocument/2006/relationships/chart" Target="charts/chart6.xml"/><Relationship Id="rId4" Type="http://schemas.openxmlformats.org/officeDocument/2006/relationships/webSettings" Target="webSettings.xml"/><Relationship Id="rId9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rosas\Desktop\P%20saber%20359%20-2014\Cali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rosas\Desktop\P%20saber%20359%20-2014\Cali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rosas\Desktop\P%20saber%20359%20-2014\Cali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rosas\Desktop\P%20saber%20359%20-2014\Cali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rosas\Desktop\P%20saber%20359%20-2014\Cali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rosas\Desktop\P%20saber%20359%20-2014\Cali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CO"/>
              <a:t>Cali - Saber 3° Lenguaje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Gráficos!$B$3</c:f>
              <c:strCache>
                <c:ptCount val="1"/>
                <c:pt idx="0">
                  <c:v>2012</c:v>
                </c:pt>
              </c:strCache>
            </c:strRef>
          </c:tx>
          <c:invertIfNegative val="0"/>
          <c:cat>
            <c:strRef>
              <c:f>Gráficos!$C$2:$F$2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Gráficos!$C$3:$F$3</c:f>
              <c:numCache>
                <c:formatCode>0.00%</c:formatCode>
                <c:ptCount val="4"/>
                <c:pt idx="0">
                  <c:v>0.12246987199999999</c:v>
                </c:pt>
                <c:pt idx="1">
                  <c:v>0.27287089799999997</c:v>
                </c:pt>
                <c:pt idx="2">
                  <c:v>0.368950695</c:v>
                </c:pt>
                <c:pt idx="3">
                  <c:v>0.23719558099999999</c:v>
                </c:pt>
              </c:numCache>
            </c:numRef>
          </c:val>
        </c:ser>
        <c:ser>
          <c:idx val="1"/>
          <c:order val="1"/>
          <c:tx>
            <c:strRef>
              <c:f>Gráficos!$B$4</c:f>
              <c:strCache>
                <c:ptCount val="1"/>
                <c:pt idx="0">
                  <c:v>2013</c:v>
                </c:pt>
              </c:strCache>
            </c:strRef>
          </c:tx>
          <c:invertIfNegative val="0"/>
          <c:cat>
            <c:strRef>
              <c:f>Gráficos!$C$2:$F$2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Gráficos!$C$4:$F$4</c:f>
              <c:numCache>
                <c:formatCode>0.00%</c:formatCode>
                <c:ptCount val="4"/>
                <c:pt idx="0">
                  <c:v>0.108864792</c:v>
                </c:pt>
                <c:pt idx="1">
                  <c:v>0.26714640899999997</c:v>
                </c:pt>
                <c:pt idx="2">
                  <c:v>0.379587591</c:v>
                </c:pt>
                <c:pt idx="3">
                  <c:v>0.24609907</c:v>
                </c:pt>
              </c:numCache>
            </c:numRef>
          </c:val>
        </c:ser>
        <c:ser>
          <c:idx val="2"/>
          <c:order val="2"/>
          <c:tx>
            <c:strRef>
              <c:f>Gráficos!$B$5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cat>
            <c:strRef>
              <c:f>Gráficos!$C$2:$F$2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Gráficos!$C$5:$F$5</c:f>
              <c:numCache>
                <c:formatCode>0.00%</c:formatCode>
                <c:ptCount val="4"/>
                <c:pt idx="0">
                  <c:v>0.103397265</c:v>
                </c:pt>
                <c:pt idx="1">
                  <c:v>0.254613429</c:v>
                </c:pt>
                <c:pt idx="2">
                  <c:v>0.38042372499999999</c:v>
                </c:pt>
                <c:pt idx="3">
                  <c:v>0.263464898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4105472"/>
        <c:axId val="104107008"/>
      </c:barChart>
      <c:catAx>
        <c:axId val="10410547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04107008"/>
        <c:crosses val="autoZero"/>
        <c:auto val="1"/>
        <c:lblAlgn val="ctr"/>
        <c:lblOffset val="100"/>
        <c:noMultiLvlLbl val="0"/>
      </c:catAx>
      <c:valAx>
        <c:axId val="104107008"/>
        <c:scaling>
          <c:orientation val="minMax"/>
        </c:scaling>
        <c:delete val="0"/>
        <c:axPos val="l"/>
        <c:majorGridlines/>
        <c:title>
          <c:overlay val="0"/>
        </c:title>
        <c:numFmt formatCode="0%" sourceLinked="0"/>
        <c:majorTickMark val="none"/>
        <c:minorTickMark val="none"/>
        <c:tickLblPos val="nextTo"/>
        <c:crossAx val="10410547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CO"/>
              <a:t>Cali -Saber 3° Matemáticas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Gráficos!$I$3</c:f>
              <c:strCache>
                <c:ptCount val="1"/>
                <c:pt idx="0">
                  <c:v>2012</c:v>
                </c:pt>
              </c:strCache>
            </c:strRef>
          </c:tx>
          <c:invertIfNegative val="0"/>
          <c:cat>
            <c:strRef>
              <c:f>Gráficos!$J$2:$M$2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Gráficos!$J$3:$M$3</c:f>
              <c:numCache>
                <c:formatCode>0.00%</c:formatCode>
                <c:ptCount val="4"/>
                <c:pt idx="0">
                  <c:v>0.120930523</c:v>
                </c:pt>
                <c:pt idx="1">
                  <c:v>0.27557826000000002</c:v>
                </c:pt>
                <c:pt idx="2">
                  <c:v>0.322313815</c:v>
                </c:pt>
                <c:pt idx="3">
                  <c:v>0.28265386799999997</c:v>
                </c:pt>
              </c:numCache>
            </c:numRef>
          </c:val>
        </c:ser>
        <c:ser>
          <c:idx val="1"/>
          <c:order val="1"/>
          <c:tx>
            <c:strRef>
              <c:f>Gráficos!$I$4</c:f>
              <c:strCache>
                <c:ptCount val="1"/>
                <c:pt idx="0">
                  <c:v>2013</c:v>
                </c:pt>
              </c:strCache>
            </c:strRef>
          </c:tx>
          <c:invertIfNegative val="0"/>
          <c:cat>
            <c:strRef>
              <c:f>Gráficos!$J$2:$M$2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Gráficos!$J$4:$M$4</c:f>
              <c:numCache>
                <c:formatCode>0.00%</c:formatCode>
                <c:ptCount val="4"/>
                <c:pt idx="0">
                  <c:v>0.121457264</c:v>
                </c:pt>
                <c:pt idx="1">
                  <c:v>0.28008907999999999</c:v>
                </c:pt>
                <c:pt idx="2">
                  <c:v>0.30910131299999999</c:v>
                </c:pt>
                <c:pt idx="3">
                  <c:v>0.29066041100000001</c:v>
                </c:pt>
              </c:numCache>
            </c:numRef>
          </c:val>
        </c:ser>
        <c:ser>
          <c:idx val="2"/>
          <c:order val="2"/>
          <c:tx>
            <c:strRef>
              <c:f>Gráficos!$I$5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cat>
            <c:strRef>
              <c:f>Gráficos!$J$2:$M$2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Gráficos!$J$5:$M$5</c:f>
              <c:numCache>
                <c:formatCode>0.00%</c:formatCode>
                <c:ptCount val="4"/>
                <c:pt idx="0">
                  <c:v>0.12004601199999999</c:v>
                </c:pt>
                <c:pt idx="1">
                  <c:v>0.276794553</c:v>
                </c:pt>
                <c:pt idx="2">
                  <c:v>0.32029315800000002</c:v>
                </c:pt>
                <c:pt idx="3">
                  <c:v>0.28450867499999999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0799104"/>
        <c:axId val="110800896"/>
      </c:barChart>
      <c:catAx>
        <c:axId val="11079910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10800896"/>
        <c:crosses val="autoZero"/>
        <c:auto val="1"/>
        <c:lblAlgn val="ctr"/>
        <c:lblOffset val="100"/>
        <c:noMultiLvlLbl val="0"/>
      </c:catAx>
      <c:valAx>
        <c:axId val="110800896"/>
        <c:scaling>
          <c:orientation val="minMax"/>
        </c:scaling>
        <c:delete val="0"/>
        <c:axPos val="l"/>
        <c:majorGridlines/>
        <c:title>
          <c:overlay val="0"/>
        </c:title>
        <c:numFmt formatCode="0%" sourceLinked="0"/>
        <c:majorTickMark val="none"/>
        <c:minorTickMark val="none"/>
        <c:tickLblPos val="nextTo"/>
        <c:crossAx val="11079910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CO"/>
              <a:t>Cali -Saber 5° Lenguaje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Gráficos!$B$9</c:f>
              <c:strCache>
                <c:ptCount val="1"/>
                <c:pt idx="0">
                  <c:v>2012</c:v>
                </c:pt>
              </c:strCache>
            </c:strRef>
          </c:tx>
          <c:invertIfNegative val="0"/>
          <c:cat>
            <c:strRef>
              <c:f>Gráficos!$C$8:$F$8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Gráficos!$C$9:$F$9</c:f>
              <c:numCache>
                <c:formatCode>0.00%</c:formatCode>
                <c:ptCount val="4"/>
                <c:pt idx="0">
                  <c:v>0.11252427800000001</c:v>
                </c:pt>
                <c:pt idx="1">
                  <c:v>0.36594903499999998</c:v>
                </c:pt>
                <c:pt idx="2">
                  <c:v>0.34241285900000001</c:v>
                </c:pt>
                <c:pt idx="3">
                  <c:v>0.18038775000000001</c:v>
                </c:pt>
              </c:numCache>
            </c:numRef>
          </c:val>
        </c:ser>
        <c:ser>
          <c:idx val="1"/>
          <c:order val="1"/>
          <c:tx>
            <c:strRef>
              <c:f>Gráficos!$B$10</c:f>
              <c:strCache>
                <c:ptCount val="1"/>
                <c:pt idx="0">
                  <c:v>2013</c:v>
                </c:pt>
              </c:strCache>
            </c:strRef>
          </c:tx>
          <c:invertIfNegative val="0"/>
          <c:cat>
            <c:strRef>
              <c:f>Gráficos!$C$8:$F$8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Gráficos!$C$10:$F$10</c:f>
              <c:numCache>
                <c:formatCode>0.00%</c:formatCode>
                <c:ptCount val="4"/>
                <c:pt idx="0">
                  <c:v>0.12162294999999999</c:v>
                </c:pt>
                <c:pt idx="1">
                  <c:v>0.36112225100000001</c:v>
                </c:pt>
                <c:pt idx="2">
                  <c:v>0.33641806200000002</c:v>
                </c:pt>
                <c:pt idx="3">
                  <c:v>0.18277570600000001</c:v>
                </c:pt>
              </c:numCache>
            </c:numRef>
          </c:val>
        </c:ser>
        <c:ser>
          <c:idx val="2"/>
          <c:order val="2"/>
          <c:tx>
            <c:strRef>
              <c:f>Gráficos!$B$11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cat>
            <c:strRef>
              <c:f>Gráficos!$C$8:$F$8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Gráficos!$C$11:$F$11</c:f>
              <c:numCache>
                <c:formatCode>0.00%</c:formatCode>
                <c:ptCount val="4"/>
                <c:pt idx="0">
                  <c:v>0.133595243</c:v>
                </c:pt>
                <c:pt idx="1">
                  <c:v>0.37747916599999998</c:v>
                </c:pt>
                <c:pt idx="2">
                  <c:v>0.31773096299999998</c:v>
                </c:pt>
                <c:pt idx="3">
                  <c:v>0.17277082799999999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2205568"/>
        <c:axId val="132227840"/>
      </c:barChart>
      <c:catAx>
        <c:axId val="13220556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32227840"/>
        <c:crosses val="autoZero"/>
        <c:auto val="1"/>
        <c:lblAlgn val="ctr"/>
        <c:lblOffset val="100"/>
        <c:noMultiLvlLbl val="0"/>
      </c:catAx>
      <c:valAx>
        <c:axId val="132227840"/>
        <c:scaling>
          <c:orientation val="minMax"/>
        </c:scaling>
        <c:delete val="0"/>
        <c:axPos val="l"/>
        <c:majorGridlines/>
        <c:title>
          <c:overlay val="0"/>
        </c:title>
        <c:numFmt formatCode="0%" sourceLinked="0"/>
        <c:majorTickMark val="none"/>
        <c:minorTickMark val="none"/>
        <c:tickLblPos val="nextTo"/>
        <c:crossAx val="132205568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CO"/>
              <a:t>Cali -Saber 5° Matemáticas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Gráficos!$I$9</c:f>
              <c:strCache>
                <c:ptCount val="1"/>
                <c:pt idx="0">
                  <c:v>2012</c:v>
                </c:pt>
              </c:strCache>
            </c:strRef>
          </c:tx>
          <c:invertIfNegative val="0"/>
          <c:cat>
            <c:strRef>
              <c:f>Gráficos!$J$8:$M$8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Gráficos!$J$9:$M$9</c:f>
              <c:numCache>
                <c:formatCode>0.00%</c:formatCode>
                <c:ptCount val="4"/>
                <c:pt idx="0">
                  <c:v>0.30310422199999998</c:v>
                </c:pt>
                <c:pt idx="1">
                  <c:v>0.33521330399999999</c:v>
                </c:pt>
                <c:pt idx="2">
                  <c:v>0.23369114099999999</c:v>
                </c:pt>
                <c:pt idx="3">
                  <c:v>0.12928484400000001</c:v>
                </c:pt>
              </c:numCache>
            </c:numRef>
          </c:val>
        </c:ser>
        <c:ser>
          <c:idx val="1"/>
          <c:order val="1"/>
          <c:tx>
            <c:strRef>
              <c:f>Gráficos!$I$10</c:f>
              <c:strCache>
                <c:ptCount val="1"/>
                <c:pt idx="0">
                  <c:v>2013</c:v>
                </c:pt>
              </c:strCache>
            </c:strRef>
          </c:tx>
          <c:invertIfNegative val="0"/>
          <c:cat>
            <c:strRef>
              <c:f>Gráficos!$J$8:$M$8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Gráficos!$J$10:$M$10</c:f>
              <c:numCache>
                <c:formatCode>0.00%</c:formatCode>
                <c:ptCount val="4"/>
                <c:pt idx="0">
                  <c:v>0.28866162899999998</c:v>
                </c:pt>
                <c:pt idx="1">
                  <c:v>0.31975823599999997</c:v>
                </c:pt>
                <c:pt idx="2">
                  <c:v>0.240834728</c:v>
                </c:pt>
                <c:pt idx="3">
                  <c:v>0.15228308700000001</c:v>
                </c:pt>
              </c:numCache>
            </c:numRef>
          </c:val>
        </c:ser>
        <c:ser>
          <c:idx val="2"/>
          <c:order val="2"/>
          <c:tx>
            <c:strRef>
              <c:f>Gráficos!$I$11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cat>
            <c:strRef>
              <c:f>Gráficos!$J$8:$M$8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Gráficos!$J$11:$M$11</c:f>
              <c:numCache>
                <c:formatCode>0.00%</c:formatCode>
                <c:ptCount val="4"/>
                <c:pt idx="0">
                  <c:v>0.35514748099999999</c:v>
                </c:pt>
                <c:pt idx="1">
                  <c:v>0.30195367299999998</c:v>
                </c:pt>
                <c:pt idx="2">
                  <c:v>0.20416288099999999</c:v>
                </c:pt>
                <c:pt idx="3">
                  <c:v>0.14046035700000001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4901120"/>
        <c:axId val="134911104"/>
      </c:barChart>
      <c:catAx>
        <c:axId val="13490112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34911104"/>
        <c:crosses val="autoZero"/>
        <c:auto val="1"/>
        <c:lblAlgn val="ctr"/>
        <c:lblOffset val="100"/>
        <c:noMultiLvlLbl val="0"/>
      </c:catAx>
      <c:valAx>
        <c:axId val="134911104"/>
        <c:scaling>
          <c:orientation val="minMax"/>
        </c:scaling>
        <c:delete val="0"/>
        <c:axPos val="l"/>
        <c:majorGridlines/>
        <c:title>
          <c:overlay val="0"/>
        </c:title>
        <c:numFmt formatCode="0%" sourceLinked="0"/>
        <c:majorTickMark val="none"/>
        <c:minorTickMark val="none"/>
        <c:tickLblPos val="nextTo"/>
        <c:crossAx val="13490112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CO"/>
              <a:t>Cali -Saber 9° Lenguaje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Gráficos!$B$15</c:f>
              <c:strCache>
                <c:ptCount val="1"/>
                <c:pt idx="0">
                  <c:v>2012</c:v>
                </c:pt>
              </c:strCache>
            </c:strRef>
          </c:tx>
          <c:invertIfNegative val="0"/>
          <c:cat>
            <c:strRef>
              <c:f>Gráficos!$C$14:$F$14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Gráficos!$C$15:$F$15</c:f>
              <c:numCache>
                <c:formatCode>0.00%</c:formatCode>
                <c:ptCount val="4"/>
                <c:pt idx="0">
                  <c:v>0.105664968</c:v>
                </c:pt>
                <c:pt idx="1">
                  <c:v>0.36106055999999997</c:v>
                </c:pt>
                <c:pt idx="2">
                  <c:v>0.47787159699999998</c:v>
                </c:pt>
                <c:pt idx="3">
                  <c:v>5.7300586000000001E-2</c:v>
                </c:pt>
              </c:numCache>
            </c:numRef>
          </c:val>
        </c:ser>
        <c:ser>
          <c:idx val="1"/>
          <c:order val="1"/>
          <c:tx>
            <c:strRef>
              <c:f>Gráficos!$B$16</c:f>
              <c:strCache>
                <c:ptCount val="1"/>
                <c:pt idx="0">
                  <c:v>2013</c:v>
                </c:pt>
              </c:strCache>
            </c:strRef>
          </c:tx>
          <c:invertIfNegative val="0"/>
          <c:cat>
            <c:strRef>
              <c:f>Gráficos!$C$14:$F$14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Gráficos!$C$16:$F$16</c:f>
              <c:numCache>
                <c:formatCode>0.00%</c:formatCode>
                <c:ptCount val="4"/>
                <c:pt idx="0">
                  <c:v>0.1244739</c:v>
                </c:pt>
                <c:pt idx="1">
                  <c:v>0.38691893199999999</c:v>
                </c:pt>
                <c:pt idx="2">
                  <c:v>0.42503559600000002</c:v>
                </c:pt>
                <c:pt idx="3">
                  <c:v>6.4977019999999996E-2</c:v>
                </c:pt>
              </c:numCache>
            </c:numRef>
          </c:val>
        </c:ser>
        <c:ser>
          <c:idx val="2"/>
          <c:order val="2"/>
          <c:tx>
            <c:strRef>
              <c:f>Gráficos!$B$17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cat>
            <c:strRef>
              <c:f>Gráficos!$C$14:$F$14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Gráficos!$C$17:$F$17</c:f>
              <c:numCache>
                <c:formatCode>0.00%</c:formatCode>
                <c:ptCount val="4"/>
                <c:pt idx="0">
                  <c:v>0.13595497600000001</c:v>
                </c:pt>
                <c:pt idx="1">
                  <c:v>0.39006006700000001</c:v>
                </c:pt>
                <c:pt idx="2">
                  <c:v>0.40293189899999998</c:v>
                </c:pt>
                <c:pt idx="3">
                  <c:v>7.3029280000000002E-2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5152000"/>
        <c:axId val="135153536"/>
      </c:barChart>
      <c:catAx>
        <c:axId val="13515200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35153536"/>
        <c:crosses val="autoZero"/>
        <c:auto val="1"/>
        <c:lblAlgn val="ctr"/>
        <c:lblOffset val="100"/>
        <c:noMultiLvlLbl val="0"/>
      </c:catAx>
      <c:valAx>
        <c:axId val="135153536"/>
        <c:scaling>
          <c:orientation val="minMax"/>
        </c:scaling>
        <c:delete val="0"/>
        <c:axPos val="l"/>
        <c:majorGridlines/>
        <c:title>
          <c:overlay val="0"/>
        </c:title>
        <c:numFmt formatCode="0.00%" sourceLinked="1"/>
        <c:majorTickMark val="none"/>
        <c:minorTickMark val="none"/>
        <c:tickLblPos val="nextTo"/>
        <c:crossAx val="13515200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CO"/>
              <a:t>Cali -Saber 9° Matemáticas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Gráficos!$I$15</c:f>
              <c:strCache>
                <c:ptCount val="1"/>
                <c:pt idx="0">
                  <c:v>2012</c:v>
                </c:pt>
              </c:strCache>
            </c:strRef>
          </c:tx>
          <c:invertIfNegative val="0"/>
          <c:cat>
            <c:strRef>
              <c:f>Gráficos!$J$14:$M$14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Gráficos!$J$15:$M$15</c:f>
              <c:numCache>
                <c:formatCode>0.00%</c:formatCode>
                <c:ptCount val="4"/>
                <c:pt idx="0">
                  <c:v>0.17604818899999999</c:v>
                </c:pt>
                <c:pt idx="1">
                  <c:v>0.52803540199999999</c:v>
                </c:pt>
                <c:pt idx="2">
                  <c:v>0.242137611</c:v>
                </c:pt>
                <c:pt idx="3">
                  <c:v>5.5795128999999999E-2</c:v>
                </c:pt>
              </c:numCache>
            </c:numRef>
          </c:val>
        </c:ser>
        <c:ser>
          <c:idx val="1"/>
          <c:order val="1"/>
          <c:tx>
            <c:strRef>
              <c:f>Gráficos!$I$16</c:f>
              <c:strCache>
                <c:ptCount val="1"/>
                <c:pt idx="0">
                  <c:v>2013</c:v>
                </c:pt>
              </c:strCache>
            </c:strRef>
          </c:tx>
          <c:invertIfNegative val="0"/>
          <c:cat>
            <c:strRef>
              <c:f>Gráficos!$J$14:$M$14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Gráficos!$J$16:$M$16</c:f>
              <c:numCache>
                <c:formatCode>0.00%</c:formatCode>
                <c:ptCount val="4"/>
                <c:pt idx="0">
                  <c:v>0.170220554</c:v>
                </c:pt>
                <c:pt idx="1">
                  <c:v>0.53643232600000001</c:v>
                </c:pt>
                <c:pt idx="2">
                  <c:v>0.240662977</c:v>
                </c:pt>
                <c:pt idx="3">
                  <c:v>5.4767266000000002E-2</c:v>
                </c:pt>
              </c:numCache>
            </c:numRef>
          </c:val>
        </c:ser>
        <c:ser>
          <c:idx val="2"/>
          <c:order val="2"/>
          <c:tx>
            <c:strRef>
              <c:f>Gráficos!$I$17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cat>
            <c:strRef>
              <c:f>Gráficos!$J$14:$M$14</c:f>
              <c:strCache>
                <c:ptCount val="4"/>
                <c:pt idx="0">
                  <c:v>Insuficiente</c:v>
                </c:pt>
                <c:pt idx="1">
                  <c:v>Mínimo</c:v>
                </c:pt>
                <c:pt idx="2">
                  <c:v>Satisfactorio</c:v>
                </c:pt>
                <c:pt idx="3">
                  <c:v>Avanzado</c:v>
                </c:pt>
              </c:strCache>
            </c:strRef>
          </c:cat>
          <c:val>
            <c:numRef>
              <c:f>Gráficos!$J$17:$M$17</c:f>
              <c:numCache>
                <c:formatCode>0.00%</c:formatCode>
                <c:ptCount val="4"/>
                <c:pt idx="0">
                  <c:v>0.22479975199999999</c:v>
                </c:pt>
                <c:pt idx="1">
                  <c:v>0.48275616799999999</c:v>
                </c:pt>
                <c:pt idx="2">
                  <c:v>0.23708923200000001</c:v>
                </c:pt>
                <c:pt idx="3">
                  <c:v>5.7604651999999999E-2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5197824"/>
        <c:axId val="135199360"/>
      </c:barChart>
      <c:catAx>
        <c:axId val="13519782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35199360"/>
        <c:crosses val="autoZero"/>
        <c:auto val="1"/>
        <c:lblAlgn val="ctr"/>
        <c:lblOffset val="100"/>
        <c:noMultiLvlLbl val="0"/>
      </c:catAx>
      <c:valAx>
        <c:axId val="135199360"/>
        <c:scaling>
          <c:orientation val="minMax"/>
        </c:scaling>
        <c:delete val="0"/>
        <c:axPos val="l"/>
        <c:majorGridlines/>
        <c:title>
          <c:overlay val="0"/>
        </c:title>
        <c:numFmt formatCode="0.00%" sourceLinked="1"/>
        <c:majorTickMark val="none"/>
        <c:minorTickMark val="none"/>
        <c:tickLblPos val="nextTo"/>
        <c:crossAx val="13519782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330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Eduardo Rosas Bucheli</dc:creator>
  <cp:lastModifiedBy>Luis Eduardo Rosas Bucheli</cp:lastModifiedBy>
  <cp:revision>2</cp:revision>
  <dcterms:created xsi:type="dcterms:W3CDTF">2015-07-10T14:51:00Z</dcterms:created>
  <dcterms:modified xsi:type="dcterms:W3CDTF">2015-07-10T16:22:00Z</dcterms:modified>
</cp:coreProperties>
</file>